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___</w:t>
      </w:r>
    </w:p>
    <w:p>
      <w:pPr>
        <w:spacing w:after="160"/>
        <w:jc w:val="right"/>
      </w:pPr>
      <w:r>
        <w:t xml:space="preserve">От: ___ ___</w:t>
        <w:br/>
        <w:t xml:space="preserve">Место службы: ___</w:t>
        <w:br/>
        <w:t xml:space="preserve">Личный номер: ___</w:t>
      </w:r>
    </w:p>
    <w:p>
      <w:pPr>
        <w:spacing w:before="120" w:after="60"/>
        <w:jc w:val="center"/>
      </w:pPr>
      <w:r>
        <w:rPr>
          <w:b/>
          <w:sz w:val="28"/>
        </w:rPr>
        <w:t xml:space="preserve">РАПОРТ</w:t>
      </w:r>
    </w:p>
    <w:p>
      <w:pPr>
        <w:spacing w:after="240"/>
        <w:jc w:val="center"/>
      </w:pPr>
      <w:r>
        <w:rPr>
          <w:b/>
          <w:sz w:val="24"/>
        </w:rPr>
        <w:t xml:space="preserve">о выдаче справки о ранении (контузии, травме, увечье)</w:t>
      </w:r>
    </w:p>
    <w:p>
      <w:pPr>
        <w:spacing w:after="160"/>
        <w:jc w:val="both"/>
      </w:pPr>
      <w:r>
        <w:t xml:space="preserve">Я прохожу военную службу по контракту; место службы — ___, воинское звание — ___. Участвовал в выполнении задач специальной военной операции.</w:t>
      </w:r>
    </w:p>
    <w:p>
      <w:pPr>
        <w:spacing w:after="160"/>
        <w:jc w:val="both"/>
      </w:pPr>
      <w:r>
        <w:t xml:space="preserve">___ я получил ___.</w:t>
      </w:r>
    </w:p>
    <w:p>
      <w:pPr>
        <w:spacing w:after="160"/>
        <w:jc w:val="both"/>
      </w:pPr>
      <w:r>
        <w:t xml:space="preserve">При поступлении военнослужащего на лечение (обращении за медицинской помощью) начальник (руководитель, командир) военно-медицинской организации, части, в которую поступил военнослужащий, организует оформление справки о ранении (контузии, травме, увечье), внесение её электронно-графической копии в электронную базу данных и направление военнослужащего на медицинское освидетельствование для определения степени тяжести увечья, если увечье предусмотрено Перечнем, утверждённым постановлением Правительства Российской Федерации от 29.07.1998 № 855; первый экземпляр справки о ранении выдаётся под подпись военнослужащему. Если военнослужащий проходил лечение в медицинской организации другого ведомства, государственной или муниципальной системы здравоохранения, справка оформляется на основании документов о нахождении на лечении, представленных им начальнику военно-медицинской организации, части (п. 2(1), 2(2) Порядка назначения и осуществления единовременных выплат, установленных Указом Президента Российской Федерации от 05.03.2022 № 98, в Вооружённых Силах Российской Федерации, утверждённого приказом Министра обороны Российской Федерации от 22.04.2022 № 236).</w:t>
      </w:r>
    </w:p>
    <w:p>
      <w:pPr>
        <w:spacing w:after="160"/>
        <w:jc w:val="both"/>
      </w:pPr>
      <w:r>
        <w:t xml:space="preserve">Рапорт подан в порядке ст. 106 Дисциплинарного устава Вооружённых Сил Российской Федерации, утверждённого Указом Президента Российской Федерации от 10.11.2007 № 1495: письменные обращения военнослужащих к должностным лицам воинской части излагаются в форме рапорта. Обращение подлежит обязательному рассмотрению в срок до 30 суток со дня регистрации (ст. 116 Устава), а отказ доводится до военнослужащего со ссылкой на законы, иные нормативные правовые акты и (или) общевоинские уставы, с указанием мотивов и разъяснением порядка обжалования (ст. 115 Устава).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Оформить и выдать мне справку о ранении (контузии, травме, увечье) по увечью, полученному ___, и внести её копию в электронную базу данных.</w:t>
        <w:br/>
        <w:t xml:space="preserve">2. Решение по рапорту сообщить мне в письменной форме.</w:t>
      </w:r>
    </w:p>
    <w:p>
      <w:pPr>
        <w:spacing w:after="480"/>
      </w:pPr>
      <w:r>
        <w:t xml:space="preserve"/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