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 ___</w:t>
        <w:br/>
        <w:t xml:space="preserve">Место службы: ___</w:t>
        <w:br/>
        <w:t xml:space="preserve">Личный номер: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направлении на военно-врачебную комиссию</w:t>
      </w:r>
    </w:p>
    <w:p>
      <w:pPr>
        <w:spacing w:after="160"/>
        <w:jc w:val="both"/>
      </w:pPr>
      <w:r>
        <w:t xml:space="preserve">Я прохожу военную службу по контракту; место службы — ___, воинское звание — ___.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___ я получил ___.</w:t>
      </w:r>
    </w:p>
    <w:p>
      <w:pPr>
        <w:spacing w:after="160"/>
        <w:jc w:val="both"/>
      </w:pPr>
      <w:r>
        <w:t xml:space="preserve">Забота о сохранении и об укреплении здоровья военнослужащих — обязанность командиров (абз. 2 п. 1 ст. 16 Федерального закона от 27.05.1998 № 76-ФЗ «О статусе военнослужащих»). Организацию обследования и освидетельствования военнослужащих в воинской части (военно-медицинской организации), в которой создана военно-врачебная комиссия, обеспечивает её командир (начальник); направление военнослужащих на освидетельствование организуется Министерством обороны Российской Федерации (п. 50 Положения о военно-врачебной экспертизе, утверждённого постановлением Правительства Российской Федерации от 04.07.2013 № 565). Освидетельствование для решения вопроса о годности к военной службе военнослужащих, получивших увечье (ранение, травму, контузию) при вооружённых конфликтах или исполнении иных обязанностей военной службы, проводится по окончании стационарного лечения независимо от его продолжительности (п. 9 ст. 31 Положения о порядке прохождения военной службы, утверждённого Указом Президента Российской Федерации от 16.09.1999 № 1237; п. 67 Положения о военно-врачебной экспертизе). При освидетельствовании военнослужащих военно-врачебная комиссия определяет причинную связь полученных ими увечий, заболеваний (п. 91 Положения о военно-врачебной экспертизе).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Направить меня на медицинское освидетельствование военно-врачебной комиссией для определения категории годности к военной службе и причинной связи полученного увечья (заболевания).</w:t>
        <w:br/>
        <w:t xml:space="preserve">2. Решение по рапорту сообщить мне в письменной форме.</w:t>
      </w:r>
    </w:p>
    <w:p>
      <w:pPr>
        <w:spacing w:after="480"/>
      </w:pPr>
      <w:r>
        <w:t xml:space="preserve"/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