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с учёта в качестве плательщика налога на профессиональный доход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ИНН </w:t>
      </w:r>
      <w:r>
        <w:rPr>
          <w:b/>
        </w:rPr>
        <w:t xml:space="preserve">000000000000</w:t>
      </w:r>
      <w:r>
        <w:t xml:space="preserve">, с </w:t>
      </w:r>
      <w:r>
        <w:rPr>
          <w:b/>
        </w:rPr>
        <w:t xml:space="preserve">01.01.2024</w:t>
      </w:r>
      <w:r>
        <w:t xml:space="preserve"> состою на учёте в качестве плательщика налога на профессиональный доход (самозанятого).</w:t>
      </w:r>
    </w:p>
    <w:p>
      <w:pPr>
        <w:spacing w:after="180"/>
      </w:pPr>
      <w:r>
        <w:t xml:space="preserve">Причина прекращения применения специального налогового режима: Прекращение деятельности, при которой применялся специальный налоговый режим.</w:t>
      </w:r>
    </w:p>
    <w:p>
      <w:pPr>
        <w:spacing w:after="180"/>
      </w:pPr>
      <w:r>
        <w:t xml:space="preserve">В соответствии с ч. 12, 13 ст. 5 Федерального закона от 27.11.2018 № 422-ФЗ «О проведении эксперимента по установлению специального налогового режима «Налог на профессиональный доход»» снятие с учёта осуществляется на основании заявления налогоплательщика, поданного через мобильное приложение «Мой налог», личный кабинет налогоплательщика или письменное обращение.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Снять меня с учёта в качестве плательщика налога на профессиональный доход.</w:t>
      </w:r>
    </w:p>
    <w:p>
      <w:pPr>
        <w:spacing w:after="60"/>
      </w:pPr>
      <w:r>
        <w:t xml:space="preserve">2. Направить мне уведомление о снятии с учёта.</w:t>
      </w:r>
    </w:p>
    <w:p>
      <w:pPr>
        <w:spacing w:after="240"/>
      </w:pPr>
      <w:r>
        <w:t xml:space="preserve">3. Произвести окончательный расчёт по уплаченному налогу за период применения специального налогового режима.</w:t>
      </w:r>
    </w:p>
    <w:p>
      <w:pPr>
        <w:spacing w:after="240"/>
      </w:pPr>
      <w:r>
        <w:t xml:space="preserve">Я уведомлен(а), что снятие с учёта не освобождает меня от уплаты налога, начисленного за период применения специального налогового режима.</w:t>
      </w:r>
    </w:p>
    <w:p>
      <w:pPr>
        <w:spacing w:after="180"/>
      </w:pPr>
      <w:r>
        <w:t xml:space="preserve">Способ направления уведомления: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