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Должник: ___</w:t>
        <w:br/>
        <w:t xml:space="preserve">ОГРН ___, ИНН ___</w:t>
        <w:br/>
        <w:t xml:space="preserve">Адрес: ___</w:t>
        <w:br/>
        <w:t xml:space="preserve">Тел.: ___, e-mail: ___</w:t>
        <w:br/>
        <w:t xml:space="preserve"/>
        <w:br/>
        <w:t xml:space="preserve">Заявитель: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ОТЗЫВ</w:t>
      </w:r>
    </w:p>
    <w:p>
      <w:pPr>
        <w:keepNext/>
        <w:spacing w:before="0" w:after="240"/>
        <w:jc w:val="center"/>
      </w:pPr>
      <w:r>
        <w:rPr>
          <w:b/>
        </w:rPr>
        <w:t xml:space="preserve">должника на заявление о признании должника банкротом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от ___ по делу № ___ принято к производству заявление ___ о признании ___ несостоятельным (банкротом). Определение получено должником ___. Заявитель ссылается на задолженность в размере ___ руб. Должник направляет отзыв на заявление в соответствии с п. 1, 2 ст. 47 Федерального закона от 26.10.2002 № 127-ФЗ «О несостоятельности (банкротстве)» (далее — Закон о банкротстве) и ст. 131 АПК РФ.</w:t>
      </w:r>
    </w:p>
    <w:p>
      <w:pPr>
        <w:spacing w:before="0" w:after="120"/>
        <w:ind w:firstLine="709"/>
        <w:jc w:val="both"/>
      </w:pPr>
      <w:r>
        <w:t xml:space="preserve">Должник возражает относительно требований заявителя по следующим основаниям (по каждому доводу заявителя, со ссылкой на нормы и доказательства): ________________________________________________________________.</w:t>
      </w:r>
    </w:p>
    <w:p>
      <w:pPr>
        <w:spacing w:before="0" w:after="120"/>
        <w:ind w:firstLine="709"/>
        <w:jc w:val="both"/>
      </w:pPr>
      <w:r>
        <w:t xml:space="preserve">Общая сумма задолженности должника: по обязательствам перед кредиторами — ___ руб., по оплате труда работников — ___ руб., по обязательным платежам — ___ руб. Счета должника в кредитных организациях и счёт цифрового рубля: ___. Исполнительные производства в отношении должника: ___.</w:t>
      </w:r>
    </w:p>
    <w:p>
      <w:pPr>
        <w:spacing w:before="0" w:after="120"/>
        <w:ind w:firstLine="709"/>
        <w:jc w:val="both"/>
      </w:pPr>
      <w:r>
        <w:t xml:space="preserve">Руководитель должника допуска к государственной тайне не имеет, сведения, составляющие государственную тайну, в деятельности должника не обращаются (п. 2 ст. 45 Закона о банкротстве). Вопрос об утверждении кандидатуры арбитражного управляющего должник оставляет на усмотрение суда.</w:t>
      </w:r>
    </w:p>
    <w:p>
      <w:pPr>
        <w:spacing w:before="0" w:after="120"/>
        <w:ind w:firstLine="709"/>
        <w:jc w:val="both"/>
      </w:pPr>
      <w:r>
        <w:t xml:space="preserve">Действия, направленные на примирение, на дату отзыва не предпринимались. Должник считает примирение с заявителем возможным.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3, 6, 7, 33, 47, 48 Закона о банкротстве, ст. 131 АПК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Приобщить настоящий отзыв и приложенные документы к материалам дела.</w:t>
        <w:br/>
        <w:t xml:space="preserve">2. Рассмотреть заявление с учётом сведений, изложенных в настоящем отзыве.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документы, подтверждающие возражения (договор, акты сверки, платёжные поручения, контррасчёт);</w:t>
        <w:br/>
        <w:t xml:space="preserve">справка о составе задолженности компании;</w:t>
        <w:br/>
        <w:t xml:space="preserve">сведения о счетах (справка банка или выписка);</w:t>
        <w:br/>
        <w:t xml:space="preserve">сведения об исполнительных производствах;</w:t>
        <w:br/>
        <w:t xml:space="preserve">доказательства направления отзыва заявителю (и представителю участников, если он избран);</w:t>
        <w:br/>
        <w:t xml:space="preserve">документ о полномочиях руководителя;</w:t>
        <w:br/>
        <w:t xml:space="preserve">доверенность представителя (если подписывает представитель).</w:t>
      </w:r>
    </w:p>
    <w:p>
      <w:pPr>
        <w:keepNext/>
        <w:spacing w:before="0" w:after="120"/>
      </w:pPr>
      <w:r>
        <w:t xml:space="preserve">Генеральный директор ___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