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справки по расчётам с бюджетом</w:t>
      </w:r>
    </w:p>
    <w:p>
      <w:pPr>
        <w:spacing w:after="240"/>
      </w:pPr>
      <w:r>
        <w:t xml:space="preserve">Прошу предоставить мне, </w:t>
      </w:r>
      <w:r>
        <w:rPr>
          <w:b/>
        </w:rPr>
        <w:t xml:space="preserve">___</w:t>
      </w:r>
      <w:r>
        <w:t xml:space="preserve"> (ИНН </w:t>
      </w:r>
      <w:r>
        <w:rPr>
          <w:b/>
        </w:rPr>
        <w:t xml:space="preserve">___</w:t>
      </w:r>
      <w:r>
        <w:t xml:space="preserve">), справку о наличии положительного, отрицательного или нулевого сальдо единого налогового счёта по состоянию на дату формирования справки. Если сальдо отрицательное, прошу отразить в справке детализированные сведения об обязанности по уплате налогов, сборов, страховых взносов, пеней, штрафов и процентов.</w:t>
      </w:r>
    </w:p>
    <w:p>
      <w:pPr>
        <w:spacing w:after="180"/>
      </w:pPr>
      <w:r>
        <w:t xml:space="preserve">Основание: подпункт 5.2 пункта 1 статьи 21 и подпункт 10 пункта 1 статьи 32 Налогового кодекса Российской Федерации. Справка о наличии сальдо единого налогового счёта представляется в течение пяти дней, справка об исполнении обязанности по уплате налогов, сборов, пеней, штрафов, процентов — в течение десяти дней со дня поступления запроса в налоговый орган.</w:t>
      </w:r>
    </w:p>
    <w:p>
      <w:pPr>
        <w:spacing w:after="180"/>
      </w:pPr>
      <w:r>
        <w:t xml:space="preserve">Цель получения справки: ___.</w:t>
      </w:r>
    </w:p>
    <w:p>
      <w:pPr>
        <w:spacing w:after="240"/>
      </w:pPr>
      <w:r>
        <w:t xml:space="preserve">Способ направления справки: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