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___</w:t>
      </w:r>
    </w:p>
    <w:p>
      <w:pPr>
        <w:spacing w:after="0"/>
        <w:jc w:val="right"/>
      </w:pPr>
      <w:r>
        <w:t xml:space="preserve">Дело № ___</w:t>
      </w:r>
    </w:p>
    <w:p>
      <w:pPr>
        <w:spacing w:after="240"/>
        <w:jc w:val="right"/>
      </w:pPr>
      <w:r>
        <w:t xml:space="preserve">Судья: ___</w:t>
      </w:r>
    </w:p>
    <w:p>
      <w:pPr>
        <w:spacing w:after="0"/>
        <w:jc w:val="right"/>
      </w:pPr>
      <w:r>
        <w:t xml:space="preserve">Должник: ___</w:t>
      </w:r>
    </w:p>
    <w:p>
      <w:pPr>
        <w:spacing w:after="0"/>
        <w:jc w:val="right"/>
      </w:pPr>
      <w:r>
        <w:t xml:space="preserve">Дата и место рождения: ___</w:t>
      </w:r>
    </w:p>
    <w:p>
      <w:pPr>
        <w:spacing w:after="0"/>
        <w:jc w:val="right"/>
      </w:pPr>
      <w:r>
        <w:t xml:space="preserve">Адрес регистрации: ___</w:t>
      </w:r>
    </w:p>
    <w:p>
      <w:pPr>
        <w:spacing w:after="0"/>
        <w:jc w:val="right"/>
      </w:pPr>
      <w:r>
        <w:t xml:space="preserve">ИНН: ___, СНИЛС: ___</w:t>
      </w:r>
    </w:p>
    <w:p>
      <w:pPr>
        <w:spacing w:after="120"/>
        <w:jc w:val="right"/>
      </w:pPr>
      <w:r>
        <w:t xml:space="preserve">Телефон: ___</w:t>
      </w:r>
    </w:p>
    <w:p>
      <w:pPr>
        <w:spacing w:after="0"/>
        <w:jc w:val="right"/>
      </w:pPr>
      <w:r>
        <w:t xml:space="preserve">Финансовый управляющий: ___</w:t>
      </w:r>
    </w:p>
    <w:p>
      <w:pPr>
        <w:spacing w:after="120"/>
        <w:jc w:val="right"/>
      </w:pPr>
      <w:r>
        <w:t xml:space="preserve">Адрес для корреспонденции: ___</w:t>
      </w:r>
    </w:p>
    <w:p>
      <w:pPr>
        <w:spacing w:after="0"/>
        <w:jc w:val="right"/>
      </w:pPr>
      <w:r>
        <w:t xml:space="preserve">Лица, участвующие в деле:</w:t>
      </w:r>
    </w:p>
    <w:p>
      <w:pPr>
        <w:spacing w:after="300"/>
        <w:jc w:val="right"/>
      </w:pPr>
      <w:r>
        <w:t xml:space="preserve">___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об исключении имущества из конкурсной массы</w:t>
      </w:r>
    </w:p>
    <w:p>
      <w:pPr>
        <w:spacing w:after="180"/>
        <w:jc w:val="both"/>
        <w:ind w:firstLine="567"/>
      </w:pPr>
      <w:r>
        <w:t xml:space="preserve">Решением ___ от ___ по делу № ___ я, </w:t>
      </w:r>
      <w:r>
        <w:rPr>
          <w:b/>
        </w:rPr>
        <w:t xml:space="preserve">___</w:t>
      </w:r>
      <w:r>
        <w:t xml:space="preserve">, признан(а) несостоятельным(ой) (банкротом), в отношении меня введена процедура реализации имущества гражданина. Финансовым управляющим утверждён(а) ___.</w:t>
      </w:r>
    </w:p>
    <w:p>
      <w:pPr>
        <w:spacing w:after="180"/>
        <w:jc w:val="both"/>
        <w:ind w:firstLine="567"/>
      </w:pPr>
      <w:r>
        <w:t xml:space="preserve">В состав конкурсной массы включено принадлежащее мне имущество: </w:t>
      </w:r>
      <w:r>
        <w:rPr>
          <w:b/>
        </w:rPr>
        <w:t xml:space="preserve">___</w:t>
      </w:r>
      <w:r>
        <w:t xml:space="preserve">. Идентифицирующие сведения: ___.</w:t>
      </w:r>
    </w:p>
    <w:p>
      <w:pPr>
        <w:spacing w:after="180"/>
        <w:jc w:val="both"/>
        <w:ind w:firstLine="567"/>
      </w:pPr>
      <w:r>
        <w:t xml:space="preserve">Рыночная стоимость указанного имущества составляет ___ рублей, что подтверждается решением финансового управляющего об оценке имущества должника.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Расходы, необходимые для реализации данного имущества, составят: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Итого расходы на реализацию: </w:t>
      </w:r>
      <w:r>
        <w:rPr>
          <w:b/>
        </w:rPr>
        <w:t xml:space="preserve">___</w:t>
      </w:r>
      <w:r>
        <w:t xml:space="preserve"> рублей.</w:t>
      </w:r>
    </w:p>
    <w:p>
      <w:pPr>
        <w:spacing w:after="180"/>
        <w:jc w:val="both"/>
        <w:ind w:firstLine="567"/>
      </w:pPr>
      <w:r>
        <w:t xml:space="preserve">Таким образом, соотношение стоимости имущества и затрат на его реализацию свидетельствует о том, что доход от продажи существенно не повлияет на удовлетворение требований кредиторов, а в ряде случаев реализация приведёт к дополнительным расходам конкурсной массы.</w:t>
      </w:r>
    </w:p>
    <w:p>
      <w:pPr>
        <w:spacing w:after="180"/>
        <w:jc w:val="both"/>
        <w:ind w:firstLine="567"/>
      </w:pPr>
      <w:r>
        <w:t xml:space="preserve">Согласно пункту 1 статьи 213.25 Федерального закона от 26.10.2002 № 127-ФЗ «О несостоятельности (банкротстве)» всё имущество гражданина, имеющееся на дату принятия решения о признании его банкротом, а также выявленное или приобретённое после этой даты, составляет конкурсную массу.</w:t>
      </w:r>
    </w:p>
    <w:p>
      <w:pPr>
        <w:spacing w:after="180"/>
        <w:jc w:val="both"/>
        <w:ind w:firstLine="567"/>
      </w:pPr>
      <w:r>
        <w:t xml:space="preserve">В силу пункта 3 статьи 213.25 Закона о банкротстве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Перечень такого имущества определён абзацами 2–11 части 1 статьи 446 Гражданского процессуального кодекса Российской Федерации и пунктами 1–17 части 1 статьи 101 Федерального закона от 02.10.2007 № 229-ФЗ «Об исполнительном производстве».</w:t>
      </w:r>
    </w:p>
    <w:p>
      <w:pPr>
        <w:spacing w:after="180"/>
        <w:jc w:val="both"/>
        <w:ind w:firstLine="567"/>
      </w:pPr>
      <w:r>
        <w:t xml:space="preserve">Согласно пункту 2 статьи 213.25 Закона о банкротстве по мотивированному ходатайству гражданина и иных лиц, участвующих в деле о банкротстве,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Перечень такого имущества утверждается арбитражным судом.</w:t>
      </w:r>
    </w:p>
    <w:p>
      <w:pPr>
        <w:spacing w:after="180"/>
        <w:jc w:val="both"/>
        <w:ind w:firstLine="567"/>
      </w:pPr>
      <w:r>
        <w:t xml:space="preserve">В пункте 2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 разъяснено, что в исключительных случаях в целях обеспечения самого должника и лиц, находящихся на его иждивении, средствами, необходимыми для нормального существования, суд по мотивированному ходатайству гражданина вправе дополнительно исключить из конкурсной массы имущество в большем размере. При этом должен соблюдаться баланс интересов должника и лиц, находящихся на его иждивении, с одной стороны, и кредиторов — с другой.</w:t>
      </w:r>
    </w:p>
    <w:p>
      <w:pPr>
        <w:spacing w:after="180"/>
        <w:jc w:val="both"/>
        <w:ind w:firstLine="567"/>
      </w:pPr>
      <w:r>
        <w:t xml:space="preserve">Согласно пункту 39 постановления Пленума Верховного Суда РФ от 13.10.2015 № 45 при рассмотрении дел о банкротстве граждан суды должны учитывать необходимость обеспечения справедливого баланса между имущественными интересами кредиторов и личными правами должника, в том числе его правом на достойную жизнь и достоинство личности. Ходатайство должника о получении из конкурсной массы денежных средств в разумном размере на оплату личных нужд рассматривается судом в порядке статьи 60 Закона о банкротстве.</w:t>
      </w:r>
    </w:p>
    <w:p>
      <w:pPr>
        <w:spacing w:after="180"/>
        <w:jc w:val="both"/>
        <w:ind w:firstLine="567"/>
      </w:pPr>
      <w:r>
        <w:t xml:space="preserve">Как указал Конституционный Суд Российской Федерации в постановлении от 12.07.2007 № 10-П, необходимость обеспечения баланса интересов кредитора и гражданина-должника требует защиты прав последнего не только путём соблюдения минимальных стандартов правовой защиты, но и путём сохранения для него и лиц, находящихся на его иждивении, необходимого уровня существования, с тем чтобы не оставить их за пределами социальной жизни. Аналогичная позиция изложена в определениях Конституционного Суда РФ от 13.10.2009 № 1325-О-О, от 15.07.2010 № 1064-О-О, от 17.01.2012 № 14-О-О.</w:t>
      </w:r>
    </w:p>
    <w:p>
      <w:pPr>
        <w:spacing w:after="180"/>
        <w:jc w:val="both"/>
        <w:ind w:firstLine="567"/>
      </w:pPr>
      <w:r>
        <w:t xml:space="preserve">Пункт 2 статьи 213.25 Закона о банкротстве прямо связывает возможность исключения имущества с тем, что доход от его реализации существенно не повлияет на удовлетворение требований кредиторов. Реализация имущества, затраты на которую сопоставимы с его стоимостью или превышают её, не отвечает целям процедуры банкротства и противоречит принципу разумности и экономической целесообразности.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На основании изложенного и руководствуясь статьями 60, 213.25 Федерального закона «О несостоятельности (банкротстве)»,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Исключить из конкурсной массы имущество: ___ (___).</w:t>
      </w:r>
    </w:p>
    <w:p>
      <w:pPr>
        <w:spacing w:after="240"/>
        <w:jc w:val="left"/>
      </w:pPr>
      <w:r>
        <w:t xml:space="preserve">2. Рассмотреть настоящее ходатайство в отсутствие должника.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240"/>
        <w:jc w:val="left"/>
      </w:pPr>
      <w:r>
        <w:t xml:space="preserve">документы, подтверждающие стоимость имущества (отчёт об оценке, решение управляющего об оценке);</w:t>
        <w:br/>
        <w:t xml:space="preserve">справка о задолженности перед кооперативом (товариществом);</w:t>
        <w:br/>
        <w:t xml:space="preserve">тарифы электронной торговой площадки и стоимость публикаций;</w:t>
        <w:br/>
        <w:t xml:space="preserve">счёт на кадастровые и регистрационные работы;</w:t>
        <w:br/>
        <w:t xml:space="preserve">доказательства направления копий ходатайства финансовому управляющему и кредиторам.</w:t>
      </w:r>
    </w:p>
    <w:p>
      <w:pPr>
        <w:spacing w:after="0"/>
        <w:jc w:val="left"/>
      </w:pPr>
      <w:r>
        <w:t xml:space="preserve">«___» ______________ 20___ г.                    ______________ / ___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